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B4F72"/>
          <w:sz w:val="44"/>
          <w:szCs w:val="44"/>
        </w:rPr>
        <w:t xml:space="preserve">CouplesBenefits</w:t>
      </w:r>
    </w:p>
    <w:p>
      <w:pPr>
        <w:spacing w:after="40"/>
      </w:pPr>
      <w:r>
        <w:rPr>
          <w:rFonts w:ascii="Arial" w:cs="Arial" w:eastAsia="Arial" w:hAnsi="Arial"/>
          <w:color w:val="2E86C1"/>
          <w:sz w:val="36"/>
          <w:szCs w:val="36"/>
        </w:rPr>
        <w:t xml:space="preserve">Go-to-Market Plan</w:t>
      </w:r>
    </w:p>
    <w:p>
      <w:pPr>
        <w:pBdr>
          <w:bottom w:val="single" w:color="2E86C1" w:sz="6" w:space="1"/>
        </w:pBdr>
        <w:spacing w:after="200"/>
      </w:pPr>
      <w:r>
        <w:rPr>
          <w:color w:val="666666"/>
          <w:sz w:val="20"/>
          <w:szCs w:val="20"/>
        </w:rPr>
        <w:t xml:space="preserve">April 2026  |  WNY48 Startup Weekend  |  Buffalo, NY</w:t>
      </w:r>
    </w:p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Executive Summary</w:t>
      </w:r>
    </w:p>
    <w:p>
      <w:pPr>
        <w:spacing w:after="120" w:line="276"/>
      </w:pPr>
      <w:r>
        <w:rPr>
          <w:sz w:val="22"/>
          <w:szCs w:val="22"/>
        </w:rPr>
        <w:t xml:space="preserve">CouplesBenefits is a benefits coordination platform for dual-earner couples with overlapping employer health coverage. When both spouses have employer-sponsored health insurance and only need one plan, the second employer's allocation -- typically $15,000 to $24,000 per year -- simply evaporates. We capture that waste and redirect it to the household as a taxable opt-out payment.</w:t>
      </w:r>
    </w:p>
    <w:p>
      <w:pPr>
        <w:spacing w:after="120" w:line="276"/>
      </w:pPr>
      <w:r>
        <w:rPr>
          <w:sz w:val="22"/>
          <w:szCs w:val="22"/>
        </w:rPr>
        <w:t xml:space="preserve">This document lays out how we get from a weekend demo to paying customers, organized around one immovable constraint: open enrollment happens once a year, in October. Everything we do either prepares for that window or builds momentum between windows.</w:t>
      </w:r>
    </w:p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Market Overview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Total addressable market: </w:t>
      </w:r>
      <w:r>
        <w:rPr>
          <w:sz w:val="22"/>
          <w:szCs w:val="22"/>
        </w:rPr>
        <w:t xml:space="preserve">~30 million dual-earner married couples in the US with overlapping employer-sponsored benefits. At an average family premium allocation of $24,000, the total wasted allocation across these households exceeds $100 billion annually.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Serviceable market (Year 1-3): </w:t>
      </w:r>
      <w:r>
        <w:rPr>
          <w:sz w:val="22"/>
          <w:szCs w:val="22"/>
        </w:rPr>
        <w:t xml:space="preserve">Mid-market employers in Western New York with 200-2,000 employees. Buffalo alone has hundreds of employers in this range across banking, health care, manufacturing, education, and food production.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Why the market exists: </w:t>
      </w:r>
      <w:r>
        <w:rPr>
          <w:sz w:val="22"/>
          <w:szCs w:val="22"/>
        </w:rPr>
        <w:t xml:space="preserve">No one is coordinating between two employers on behalf of the household. Brokers work for one employer at a time. Benefits platforms manage enrollment within a single company. Nobody is rooting for the household.</w:t>
      </w:r>
    </w:p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Ideal Customer Profiles</w:t>
      </w:r>
    </w:p>
    <w:p>
      <w:pPr>
        <w:pStyle w:val="Heading2"/>
        <w:spacing w:after="160" w:before="300"/>
      </w:pPr>
      <w:r>
        <w:rPr>
          <w:b/>
          <w:bCs/>
          <w:sz w:val="26"/>
          <w:szCs w:val="26"/>
        </w:rPr>
        <w:t xml:space="preserve">Employer ICP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sz w:val="22"/>
          <w:szCs w:val="22"/>
        </w:rPr>
        <w:t xml:space="preserve">Size: </w:t>
      </w:r>
      <w:r>
        <w:rPr>
          <w:sz w:val="22"/>
          <w:szCs w:val="22"/>
        </w:rPr>
        <w:t xml:space="preserve">200-2,000 employees. Large enough that health care is a material line item; small enough they don't have Mercer or Aon building custom solutions.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sz w:val="22"/>
          <w:szCs w:val="22"/>
        </w:rPr>
        <w:t xml:space="preserve">Industry: </w:t>
      </w:r>
      <w:r>
        <w:rPr>
          <w:sz w:val="22"/>
          <w:szCs w:val="22"/>
        </w:rPr>
        <w:t xml:space="preserve">Stable, benefits-eligible workforce. Manufacturing, banking, food production, health care systems, higher education, regional insurance. Not gig-economy or high-turnover retail.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sz w:val="22"/>
          <w:szCs w:val="22"/>
        </w:rPr>
        <w:t xml:space="preserve">Benefits posture: </w:t>
      </w:r>
      <w:r>
        <w:rPr>
          <w:sz w:val="22"/>
          <w:szCs w:val="22"/>
        </w:rPr>
        <w:t xml:space="preserve">Companies that already offer competitive health benefits and see them as a retention tool, not a cost to minimize. Already spending $15,000-$25,000 per employee on family coverage.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sz w:val="22"/>
          <w:szCs w:val="22"/>
        </w:rPr>
        <w:t xml:space="preserve">Decision maker: </w:t>
      </w:r>
      <w:r>
        <w:rPr>
          <w:sz w:val="22"/>
          <w:szCs w:val="22"/>
        </w:rPr>
        <w:t xml:space="preserve">VP of HR or Benefits Director. Someone who owns the benefits budget and has authority to add an opt-out program without board approval.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sz w:val="22"/>
          <w:szCs w:val="22"/>
        </w:rPr>
        <w:t xml:space="preserve">Signals: </w:t>
      </w:r>
      <w:r>
        <w:rPr>
          <w:sz w:val="22"/>
          <w:szCs w:val="22"/>
        </w:rPr>
        <w:t xml:space="preserve">Already have an informal opt-out or waiver program; went through a painful renewal with 8%+ increases; competing for talent against larger employers; lean HR team that values "set it once, runs itself" tools.</w:t>
      </w:r>
    </w:p>
    <w:p>
      <w:pPr>
        <w:pStyle w:val="Heading2"/>
        <w:spacing w:after="160" w:before="300"/>
      </w:pPr>
      <w:r>
        <w:rPr>
          <w:b/>
          <w:bCs/>
          <w:sz w:val="26"/>
          <w:szCs w:val="26"/>
        </w:rPr>
        <w:t xml:space="preserve">Couple ICP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sz w:val="22"/>
          <w:szCs w:val="22"/>
        </w:rPr>
        <w:t xml:space="preserve">Household income: </w:t>
      </w:r>
      <w:r>
        <w:rPr>
          <w:sz w:val="22"/>
          <w:szCs w:val="22"/>
        </w:rPr>
        <w:t xml:space="preserve">$80K-$200K combined. Both spouses have benefits-eligible jobs. Not so high that $10,000/year is invisible.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sz w:val="22"/>
          <w:szCs w:val="22"/>
        </w:rPr>
        <w:t xml:space="preserve">Life stage: </w:t>
      </w:r>
      <w:r>
        <w:rPr>
          <w:sz w:val="22"/>
          <w:szCs w:val="22"/>
        </w:rPr>
        <w:t xml:space="preserve">30s-40s, typically with children. Family coverage is where the waste is largest -- employer allocates $24,000 for family vs. $8,000 for individual.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sz w:val="22"/>
          <w:szCs w:val="22"/>
        </w:rPr>
        <w:t xml:space="preserve">Current behavior: </w:t>
      </w:r>
      <w:r>
        <w:rPr>
          <w:sz w:val="22"/>
          <w:szCs w:val="22"/>
        </w:rPr>
        <w:t xml:space="preserve">Every October they pick one plan. The other allocation disappears. Most don't do the math because the math is hard and nobody is helping them.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sz w:val="22"/>
          <w:szCs w:val="22"/>
        </w:rPr>
        <w:t xml:space="preserve">Trigger moment: </w:t>
      </w:r>
      <w:r>
        <w:rPr>
          <w:sz w:val="22"/>
          <w:szCs w:val="22"/>
        </w:rPr>
        <w:t xml:space="preserve">Open enrollment, October-November. Our outreach peaks in September-October to catch couples before they default.</w:t>
      </w:r>
    </w:p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The Flywheel: Why Both ICPs Reinforce Each Other</w:t>
      </w:r>
    </w:p>
    <w:p>
      <w:pPr>
        <w:spacing w:after="120" w:line="276"/>
      </w:pPr>
      <w:r>
        <w:rPr>
          <w:sz w:val="22"/>
          <w:szCs w:val="22"/>
        </w:rPr>
        <w:t xml:space="preserve">Every couple who signs up names two employers. If one employer isn't on the platform yet, that couple becomes our best sales lead -- a real employee, waiting for a match, at a company we can now approach with a concrete value proposition. The couple-side intake drives employer-side acquisition organically.</w:t>
      </w:r>
    </w:p>
    <w:p>
      <w:pPr>
        <w:spacing w:after="120" w:line="276"/>
      </w:pPr>
      <w:r>
        <w:rPr>
          <w:sz w:val="22"/>
          <w:szCs w:val="22"/>
        </w:rPr>
        <w:t xml:space="preserve">This is the core go-to-market insight: we don't need to sell both sides separately. We sell one employer, and their employees' spouses pull the second employer onto the platform.</w:t>
      </w:r>
    </w:p>
    <w:p>
      <w:r>
        <w:br w:type="page"/>
      </w:r>
    </w:p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Go-to-Market Phases</w:t>
      </w:r>
    </w:p>
    <w:p>
      <w:pPr>
        <w:pStyle w:val="Heading2"/>
        <w:spacing w:after="160" w:before="300"/>
      </w:pPr>
      <w:r>
        <w:rPr>
          <w:b/>
          <w:bCs/>
          <w:sz w:val="26"/>
          <w:szCs w:val="26"/>
        </w:rPr>
        <w:t xml:space="preserve">Phase 1: Design Partners (May-September 2026)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Goal: </w:t>
      </w:r>
      <w:r>
        <w:rPr>
          <w:sz w:val="22"/>
          <w:szCs w:val="22"/>
        </w:rPr>
        <w:t xml:space="preserve">Sign 2-3 Buffalo-area employers as design partners. No revenue. They co-build with us and commit to going live at their January 2027 open enrollment.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How we find them: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b/>
          <w:bCs/>
          <w:sz w:val="22"/>
          <w:szCs w:val="22"/>
        </w:rPr>
        <w:t xml:space="preserve">Personal network. </w:t>
      </w:r>
      <w:r>
        <w:rPr>
          <w:sz w:val="22"/>
          <w:szCs w:val="22"/>
        </w:rPr>
        <w:t xml:space="preserve">The founder has employer relationships from running bakeries in WNY. Start with the people who already trust us -- former suppliers, fellow business owners, the HR directors we've met through local chambers.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b/>
          <w:bCs/>
          <w:sz w:val="22"/>
          <w:szCs w:val="22"/>
        </w:rPr>
        <w:t xml:space="preserve">The WNY48 demo. </w:t>
      </w:r>
      <w:r>
        <w:rPr>
          <w:sz w:val="22"/>
          <w:szCs w:val="22"/>
        </w:rPr>
        <w:t xml:space="preserve">Sunday's pitch puts us in front of Buffalo's startup and business community. Every judge, mentor, and audience member is either an employer or connected to one. Follow up Monday morning.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b/>
          <w:bCs/>
          <w:sz w:val="22"/>
          <w:szCs w:val="22"/>
        </w:rPr>
        <w:t xml:space="preserve">Named employer pairs. </w:t>
      </w:r>
      <w:r>
        <w:rPr>
          <w:sz w:val="22"/>
          <w:szCs w:val="22"/>
        </w:rPr>
        <w:t xml:space="preserve">Identify 3-5 Buffalo employer pairs where spousal overlap is high: M&amp;T Bank + Kaleida Health, University at Buffalo + ECMC, Erie County + local school districts, Rich Products + Moog. Approach both sides of each pair simultaneously.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b/>
          <w:bCs/>
          <w:sz w:val="22"/>
          <w:szCs w:val="22"/>
        </w:rPr>
        <w:t xml:space="preserve">SHRM WNY chapter. </w:t>
      </w:r>
      <w:r>
        <w:rPr>
          <w:sz w:val="22"/>
          <w:szCs w:val="22"/>
        </w:rPr>
        <w:t xml:space="preserve">Present at a local SHRM event in June or July. These are the exact HR leaders who control benefits budgets. One 20-minute presentation to 50 HR directors is worth 50 cold calls.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What we offer design partners:</w:t>
      </w:r>
    </w:p>
    <w:p>
      <w:pPr>
        <w:pStyle w:val="ListParagraph"/>
        <w:numPr>
          <w:ilvl w:val="0"/>
          <w:numId w:val="5"/>
        </w:numPr>
        <w:spacing w:after="80" w:line="276"/>
      </w:pPr>
      <w:r>
        <w:rPr>
          <w:sz w:val="22"/>
          <w:szCs w:val="22"/>
        </w:rPr>
        <w:t xml:space="preserve">Free platform access through their first open enrollment cycle</w:t>
      </w:r>
    </w:p>
    <w:p>
      <w:pPr>
        <w:pStyle w:val="ListParagraph"/>
        <w:numPr>
          <w:ilvl w:val="0"/>
          <w:numId w:val="5"/>
        </w:numPr>
        <w:spacing w:after="80" w:line="276"/>
      </w:pPr>
      <w:r>
        <w:rPr>
          <w:sz w:val="22"/>
          <w:szCs w:val="22"/>
        </w:rPr>
        <w:t xml:space="preserve">Direct input on product design -- their edge cases shape the product</w:t>
      </w:r>
    </w:p>
    <w:p>
      <w:pPr>
        <w:pStyle w:val="ListParagraph"/>
        <w:numPr>
          <w:ilvl w:val="0"/>
          <w:numId w:val="5"/>
        </w:numPr>
        <w:spacing w:after="80" w:line="276"/>
      </w:pPr>
      <w:r>
        <w:rPr>
          <w:sz w:val="22"/>
          <w:szCs w:val="22"/>
        </w:rPr>
        <w:t xml:space="preserve">First-mover pricing locked in for 3 years</w:t>
      </w:r>
    </w:p>
    <w:p>
      <w:pPr>
        <w:pStyle w:val="ListParagraph"/>
        <w:numPr>
          <w:ilvl w:val="0"/>
          <w:numId w:val="5"/>
        </w:numPr>
        <w:spacing w:after="80" w:line="276"/>
      </w:pPr>
      <w:r>
        <w:rPr>
          <w:sz w:val="22"/>
          <w:szCs w:val="22"/>
        </w:rPr>
        <w:t xml:space="preserve">A case study they can show their board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Key deliverable: </w:t>
      </w:r>
      <w:r>
        <w:rPr>
          <w:sz w:val="22"/>
          <w:szCs w:val="22"/>
        </w:rPr>
        <w:t xml:space="preserve">Signed LOIs from 2-3 employers by August 2026, with their real plan documents in hand so we can build against actual data.</w:t>
      </w:r>
    </w:p>
    <w:p>
      <w:pPr>
        <w:pStyle w:val="Heading2"/>
        <w:spacing w:after="160" w:before="300"/>
      </w:pPr>
      <w:r>
        <w:rPr>
          <w:b/>
          <w:bCs/>
          <w:sz w:val="26"/>
          <w:szCs w:val="26"/>
        </w:rPr>
        <w:t xml:space="preserve">Phase 2: First Open Enrollment (October 2026 - January 2027)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Goal: </w:t>
      </w:r>
      <w:r>
        <w:rPr>
          <w:sz w:val="22"/>
          <w:szCs w:val="22"/>
        </w:rPr>
        <w:t xml:space="preserve">Execute the first real opt-out matches. Even 10-20 successful matches is a win -- we need documented proof that the mechanism works, not scale.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What happens:</w:t>
      </w:r>
    </w:p>
    <w:p>
      <w:pPr>
        <w:pStyle w:val="ListParagraph"/>
        <w:numPr>
          <w:ilvl w:val="0"/>
          <w:numId w:val="6"/>
        </w:numPr>
        <w:spacing w:after="80" w:line="276"/>
      </w:pPr>
      <w:r>
        <w:rPr>
          <w:b/>
          <w:bCs/>
          <w:sz w:val="22"/>
          <w:szCs w:val="22"/>
        </w:rPr>
        <w:t xml:space="preserve">Employer configures rules. </w:t>
      </w:r>
      <w:r>
        <w:rPr>
          <w:sz w:val="22"/>
          <w:szCs w:val="22"/>
        </w:rPr>
        <w:t xml:space="preserve">HR sets opt-out maximums, coverage requirements, and conditions in our platform. Five minutes of setup.</w:t>
      </w:r>
    </w:p>
    <w:p>
      <w:pPr>
        <w:pStyle w:val="ListParagraph"/>
        <w:numPr>
          <w:ilvl w:val="0"/>
          <w:numId w:val="6"/>
        </w:numPr>
        <w:spacing w:after="80" w:line="276"/>
      </w:pPr>
      <w:r>
        <w:rPr>
          <w:b/>
          <w:bCs/>
          <w:sz w:val="22"/>
          <w:szCs w:val="22"/>
        </w:rPr>
        <w:t xml:space="preserve">Couples enter plan info. </w:t>
      </w:r>
      <w:r>
        <w:rPr>
          <w:sz w:val="22"/>
          <w:szCs w:val="22"/>
        </w:rPr>
        <w:t xml:space="preserve">Both spouses enter basic plan details. Quick, minimal. They shouldn't need a benefits lawyer.</w:t>
      </w:r>
    </w:p>
    <w:p>
      <w:pPr>
        <w:pStyle w:val="ListParagraph"/>
        <w:numPr>
          <w:ilvl w:val="0"/>
          <w:numId w:val="6"/>
        </w:numPr>
        <w:spacing w:after="80" w:line="276"/>
      </w:pPr>
      <w:r>
        <w:rPr>
          <w:b/>
          <w:bCs/>
          <w:sz w:val="22"/>
          <w:szCs w:val="22"/>
        </w:rPr>
        <w:t xml:space="preserve">Platform finds matches. </w:t>
      </w:r>
      <w:r>
        <w:rPr>
          <w:sz w:val="22"/>
          <w:szCs w:val="22"/>
        </w:rPr>
        <w:t xml:space="preserve">We compare both employers' rules, find overlap, and show the deal: which plan covers the family, what the opt-out payment is, and how much the household captures.</w:t>
      </w:r>
    </w:p>
    <w:p>
      <w:pPr>
        <w:pStyle w:val="ListParagraph"/>
        <w:numPr>
          <w:ilvl w:val="0"/>
          <w:numId w:val="6"/>
        </w:numPr>
        <w:spacing w:after="80" w:line="276"/>
      </w:pPr>
      <w:r>
        <w:rPr>
          <w:b/>
          <w:bCs/>
          <w:sz w:val="22"/>
          <w:szCs w:val="22"/>
        </w:rPr>
        <w:t xml:space="preserve">Opt-out executes. </w:t>
      </w:r>
      <w:r>
        <w:rPr>
          <w:sz w:val="22"/>
          <w:szCs w:val="22"/>
        </w:rPr>
        <w:t xml:space="preserve">One spouse opts out. Their employer pays the opt-out amount through payroll (we're a coordinator, not a paymaster -- this keeps us out of money transmission licensing). The family captures money that would have disappeared.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Marketing during this window:</w:t>
      </w:r>
    </w:p>
    <w:p>
      <w:pPr>
        <w:pStyle w:val="ListParagraph"/>
        <w:numPr>
          <w:ilvl w:val="0"/>
          <w:numId w:val="7"/>
        </w:numPr>
        <w:spacing w:after="80" w:line="276"/>
      </w:pPr>
      <w:r>
        <w:rPr>
          <w:sz w:val="22"/>
          <w:szCs w:val="22"/>
        </w:rPr>
        <w:t xml:space="preserve">Direct outreach to employees at partner employers -- email campaigns, break room flyers, benefits fair booths</w:t>
      </w:r>
    </w:p>
    <w:p>
      <w:pPr>
        <w:pStyle w:val="ListParagraph"/>
        <w:numPr>
          <w:ilvl w:val="0"/>
          <w:numId w:val="7"/>
        </w:numPr>
        <w:spacing w:after="80" w:line="276"/>
      </w:pPr>
      <w:r>
        <w:rPr>
          <w:sz w:val="22"/>
          <w:szCs w:val="22"/>
        </w:rPr>
        <w:t xml:space="preserve">Co-branded communications from employer HR departments ("Your benefits now include CouplesBenefits")</w:t>
      </w:r>
    </w:p>
    <w:p>
      <w:pPr>
        <w:pStyle w:val="ListParagraph"/>
        <w:numPr>
          <w:ilvl w:val="0"/>
          <w:numId w:val="7"/>
        </w:numPr>
        <w:spacing w:after="80" w:line="276"/>
      </w:pPr>
      <w:r>
        <w:rPr>
          <w:sz w:val="22"/>
          <w:szCs w:val="22"/>
        </w:rPr>
        <w:t xml:space="preserve">Simple calculator tool: "Enter your spouse's employer -- see if you're leaving money on the table"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Key deliverable: </w:t>
      </w:r>
      <w:r>
        <w:rPr>
          <w:sz w:val="22"/>
          <w:szCs w:val="22"/>
        </w:rPr>
        <w:t xml:space="preserve">10-20 documented opt-out matches with real dollar amounts. This becomes the case study for Phase 3.</w:t>
      </w:r>
    </w:p>
    <w:p>
      <w:pPr>
        <w:pStyle w:val="Heading2"/>
        <w:spacing w:after="160" w:before="300"/>
      </w:pPr>
      <w:r>
        <w:rPr>
          <w:b/>
          <w:bCs/>
          <w:sz w:val="26"/>
          <w:szCs w:val="26"/>
        </w:rPr>
        <w:t xml:space="preserve">Phase 3: First Sales Year (2027)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Goal: </w:t>
      </w:r>
      <w:r>
        <w:rPr>
          <w:sz w:val="22"/>
          <w:szCs w:val="22"/>
        </w:rPr>
        <w:t xml:space="preserve">Convert design-partner results into paid contracts. Sign 5-10 new employers. Prepare for Q4 2027 open enrollment at scale.</w:t>
      </w:r>
    </w:p>
    <w:p>
      <w:pPr>
        <w:spacing w:after="120" w:line="276"/>
      </w:pPr>
      <w:r>
        <w:rPr>
          <w:sz w:val="22"/>
          <w:szCs w:val="22"/>
        </w:rPr>
        <w:t xml:space="preserve">Now we can actually sell, because we have proof. The pitch changes from "here's what we think will work" to "here's what happened at M&amp;T -- 40 employees captured an average of $8,000 each, and the employer saved $300K in premium costs."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Sales channels:</w:t>
      </w:r>
    </w:p>
    <w:p>
      <w:pPr>
        <w:pStyle w:val="ListParagraph"/>
        <w:numPr>
          <w:ilvl w:val="0"/>
          <w:numId w:val="8"/>
        </w:numPr>
        <w:spacing w:after="80" w:line="276"/>
      </w:pPr>
      <w:r>
        <w:rPr>
          <w:b/>
          <w:bCs/>
          <w:sz w:val="22"/>
          <w:szCs w:val="22"/>
        </w:rPr>
        <w:t xml:space="preserve">Direct to employer. </w:t>
      </w:r>
      <w:r>
        <w:rPr>
          <w:sz w:val="22"/>
          <w:szCs w:val="22"/>
        </w:rPr>
        <w:t xml:space="preserve">Walk into HR offices with case studies. Buffalo is small enough that one good result at M&amp;T gets you a meeting at every bank, hospital, and manufacturer in the region. The HR community here talks.</w:t>
      </w:r>
    </w:p>
    <w:p>
      <w:pPr>
        <w:pStyle w:val="ListParagraph"/>
        <w:numPr>
          <w:ilvl w:val="0"/>
          <w:numId w:val="8"/>
        </w:numPr>
        <w:spacing w:after="80" w:line="276"/>
      </w:pPr>
      <w:r>
        <w:rPr>
          <w:b/>
          <w:bCs/>
          <w:sz w:val="22"/>
          <w:szCs w:val="22"/>
        </w:rPr>
        <w:t xml:space="preserve">Employee-led demand. </w:t>
      </w:r>
      <w:r>
        <w:rPr>
          <w:sz w:val="22"/>
          <w:szCs w:val="22"/>
        </w:rPr>
        <w:t xml:space="preserve">Every couple who signs up names their spouse's employer. When we have 50 employees at Company X whose spouses are waiting for Company X to join, that's a warm lead with built-in pressure.</w:t>
      </w:r>
    </w:p>
    <w:p>
      <w:pPr>
        <w:pStyle w:val="ListParagraph"/>
        <w:numPr>
          <w:ilvl w:val="0"/>
          <w:numId w:val="8"/>
        </w:numPr>
        <w:spacing w:after="80" w:line="276"/>
      </w:pPr>
      <w:r>
        <w:rPr>
          <w:b/>
          <w:bCs/>
          <w:sz w:val="22"/>
          <w:szCs w:val="22"/>
        </w:rPr>
        <w:t xml:space="preserve">Broker partnerships. </w:t>
      </w:r>
      <w:r>
        <w:rPr>
          <w:sz w:val="22"/>
          <w:szCs w:val="22"/>
        </w:rPr>
        <w:t xml:space="preserve">Approach carefully. Brokers control employer relationships but are skeptical of anything that changes open enrollment. Position as a tool that makes their client's benefits package more competitive, not a threat to the broker relationship. Expect 15-30% referral fees.</w:t>
      </w:r>
    </w:p>
    <w:p>
      <w:pPr>
        <w:pStyle w:val="ListParagraph"/>
        <w:numPr>
          <w:ilvl w:val="0"/>
          <w:numId w:val="8"/>
        </w:numPr>
        <w:spacing w:after="80" w:line="276"/>
      </w:pPr>
      <w:r>
        <w:rPr>
          <w:b/>
          <w:bCs/>
          <w:sz w:val="22"/>
          <w:szCs w:val="22"/>
        </w:rPr>
        <w:t xml:space="preserve">Regional conferences. </w:t>
      </w:r>
      <w:r>
        <w:rPr>
          <w:sz w:val="22"/>
          <w:szCs w:val="22"/>
        </w:rPr>
        <w:t xml:space="preserve">WNY SHRM, Buffalo Niagara Partnership events, employer roundtables. One presentation, many prospects.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Key deliverable: </w:t>
      </w:r>
      <w:r>
        <w:rPr>
          <w:sz w:val="22"/>
          <w:szCs w:val="22"/>
        </w:rPr>
        <w:t xml:space="preserve">8-15 signed contracts by September 2027, with 3-5 live at Q4 open enrollment. ~5,000 covered lives on platform.</w:t>
      </w:r>
    </w:p>
    <w:p>
      <w:pPr>
        <w:pStyle w:val="Heading2"/>
        <w:spacing w:after="160" w:before="300"/>
      </w:pPr>
      <w:r>
        <w:rPr>
          <w:b/>
          <w:bCs/>
          <w:sz w:val="26"/>
          <w:szCs w:val="26"/>
        </w:rPr>
        <w:t xml:space="preserve">Phase 4: Network Effects (2028+)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Goal: </w:t>
      </w:r>
      <w:r>
        <w:rPr>
          <w:sz w:val="22"/>
          <w:szCs w:val="22"/>
        </w:rPr>
        <w:t xml:space="preserve">Prove the network compounds. Reach 15-25 employers, 25,000 covered lives, and demonstrate that match rates improve non-linearly as employer density increases.</w:t>
      </w:r>
    </w:p>
    <w:p>
      <w:pPr>
        <w:spacing w:after="120" w:line="276"/>
      </w:pPr>
      <w:r>
        <w:rPr>
          <w:sz w:val="22"/>
          <w:szCs w:val="22"/>
        </w:rPr>
        <w:t xml:space="preserve">This is where the flywheel accelerates. With 20+ employers on platform, the probability that a random employee's spouse also works at a platform employer crosses from "unlikely" to "probable." Match rates climb from 2-5% to 10-15% without adding a single feature.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Expansion options (in priority order):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sz w:val="22"/>
          <w:szCs w:val="22"/>
        </w:rPr>
        <w:t xml:space="preserve">Regional expansion to Rochester, Syracuse, Albany -- same employer density characteristics as Buffalo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sz w:val="22"/>
          <w:szCs w:val="22"/>
        </w:rPr>
        <w:t xml:space="preserve">TPA and benefits admin partnerships -- embed CouplesBenefits inside Workday, BambooHR, or Gusto as a feature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sz w:val="22"/>
          <w:szCs w:val="22"/>
        </w:rPr>
        <w:t xml:space="preserve">Direct-to-couple marketing -- reach couples before their employers join, build demand lists by employer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sz w:val="22"/>
          <w:szCs w:val="22"/>
        </w:rPr>
        <w:t xml:space="preserve">Adjacent products -- dental/vision coordination, FSA/HSA optimization, benefits education</w:t>
      </w:r>
    </w:p>
    <w:p>
      <w:r>
        <w:br w:type="page"/>
      </w:r>
    </w:p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Revenue Model</w:t>
      </w:r>
    </w:p>
    <w:p>
      <w:pPr>
        <w:spacing w:after="120" w:line="276"/>
      </w:pPr>
      <w:r>
        <w:rPr>
          <w:sz w:val="22"/>
          <w:szCs w:val="22"/>
        </w:rPr>
        <w:t xml:space="preserve">Two revenue streams, both charged to the employer: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80"/>
        <w:gridCol w:w="35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Stream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How It Works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 Economics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SaaS Fee (PEPM)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$4 per employee per month, charged on all benefits-eligible employees at the employer -- whether they opt out or not. The employer is buying the platform.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$48/employee/year. At 5,000 covered lives = $240K ARR from PEPM alone.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Match Fee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~$1,000-$1,500 per successful opt-out match. Charged when a match executes and money flows. Success-aligned.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165 matches in Year 2 = $165K. 825 matches in Year 3 = $825K.</w:t>
            </w:r>
          </w:p>
        </w:tc>
      </w:tr>
    </w:tbl>
    <w:p>
      <w:pPr>
        <w:spacing w:after="120" w:line="276"/>
      </w:pPr>
      <w:r>
        <w:rPr>
          <w:sz w:val="22"/>
          <w:szCs w:val="22"/>
        </w:rPr>
        <w:t xml:space="preserve"/>
      </w:r>
    </w:p>
    <w:p>
      <w:pPr>
        <w:spacing w:after="120" w:line="276"/>
      </w:pPr>
      <w:r>
        <w:rPr>
          <w:i/>
          <w:iCs/>
          <w:color w:val="555555"/>
          <w:sz w:val="22"/>
          <w:szCs w:val="22"/>
        </w:rPr>
        <w:t xml:space="preserve">The household-savings number is intentionally larger than revenue. We create ~$2 of value for families for every $1 we capture. That ratio makes the wedge durable -- no one undercuts you when you're only taking 20% of the value you create.</w:t>
      </w:r>
    </w:p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Three-Year Financial Projection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080"/>
        <w:gridCol w:w="2080"/>
        <w:gridCol w:w="208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1 (2026)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2 (2027)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3 (2028)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Theme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 with anchors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First open enrollment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First sales year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Employers live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3-5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15-25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Covered lives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0-500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5,000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25,000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Executed matches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~165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~825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Household savings captured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$0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$825K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$4.1M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PEPM revenue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$0-$10K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$120K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$1.2M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Match fee revenue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$0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$165K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$825K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Total ARR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$25-$60K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$310K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$2.0M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Team (end of year)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Burn rate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$400-$600K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$1.2M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$2.5M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Capital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Pre-seed ~$500K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Seed ~$2-3M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Series A prep</w:t>
            </w:r>
          </w:p>
        </w:tc>
      </w:tr>
    </w:tbl>
    <w:p>
      <w:pPr>
        <w:spacing w:after="120" w:line="276"/>
      </w:pPr>
      <w:r>
        <w:rPr>
          <w:sz w:val="22"/>
          <w:szCs w:val="22"/>
        </w:rPr>
        <w:t xml:space="preserve"/>
      </w:r>
    </w:p>
    <w:p>
      <w:pPr>
        <w:spacing w:after="120" w:line="276"/>
      </w:pPr>
      <w:r>
        <w:rPr>
          <w:i/>
          <w:iCs/>
          <w:color w:val="555555"/>
          <w:sz w:val="22"/>
          <w:szCs w:val="22"/>
        </w:rPr>
        <w:t xml:space="preserve">Year 3 ARR of $2M is deliberately conservative. If network overlap is 50% instead of 40%, matches jump to ~1,000 and ARR crosses $2.3M. If we land one large employer (10K+ employees), covered lives could hit 35-40K and ARR could touch $3M. We don't promise that. We let investors discover it in Q&amp;A.</w:t>
      </w:r>
    </w:p>
    <w:p>
      <w:r>
        <w:br w:type="page"/>
      </w:r>
    </w:p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Annual Sales Calendar</w:t>
      </w:r>
    </w:p>
    <w:p>
      <w:pPr>
        <w:spacing w:after="120" w:line="276"/>
      </w:pPr>
      <w:r>
        <w:rPr>
          <w:sz w:val="22"/>
          <w:szCs w:val="22"/>
        </w:rPr>
        <w:t xml:space="preserve">Everything revolves around one date: October open enrollment. The entire year is structured around preparing for and executing during that window.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Window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Jan - Mar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Post-enrollment analysis. Document results from Q4. Build case studies. Begin outreach to next cohort of employers.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Apr - Jun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Employer sales season. Present at SHRM events, employer roundtables. Sign contracts for next Q4 enrollment.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Jul - Aug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Implementation. Onboard new employers. Configure rules. Integration with payroll systems. Deadline: everything live by September 1.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Sep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Pre-enrollment marketing. Employee outreach. Calculator campaigns. "See if you're leaving money on the table."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Oct - Nov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Open enrollment. All hands on deck. This is our Black Friday. Support couples through intake. Execute matches. Real-time dashboards for employer HR.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Dec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Wrap-up. Confirm opt-outs processed. First payments flow. Collect testimonials while the win is fresh.</w:t>
            </w:r>
          </w:p>
        </w:tc>
      </w:tr>
    </w:tbl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Competitive Landscape</w:t>
      </w:r>
    </w:p>
    <w:p>
      <w:pPr>
        <w:spacing w:after="120" w:line="276"/>
      </w:pPr>
      <w:r>
        <w:rPr>
          <w:sz w:val="22"/>
          <w:szCs w:val="22"/>
        </w:rPr>
        <w:t xml:space="preserve">There is no direct competitor doing household-level benefits coordination across two employers. The adjacent players are: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sz w:val="22"/>
          <w:szCs w:val="22"/>
        </w:rPr>
        <w:t xml:space="preserve">Benefits admin platforms (Workday, BambooHR, Gusto): </w:t>
      </w:r>
      <w:r>
        <w:rPr>
          <w:sz w:val="22"/>
          <w:szCs w:val="22"/>
        </w:rPr>
        <w:t xml:space="preserve">Manage enrollment within a single employer. Have no visibility into the spouse's employer. Potential integration partners, not competitors.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sz w:val="22"/>
          <w:szCs w:val="22"/>
        </w:rPr>
        <w:t xml:space="preserve">Brokers and TPAs: </w:t>
      </w:r>
      <w:r>
        <w:rPr>
          <w:sz w:val="22"/>
          <w:szCs w:val="22"/>
        </w:rPr>
        <w:t xml:space="preserve">Advise employers on plan design. Work for one employer at a time. Could be channel partners or gatekeepers -- relationship management is critical.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sz w:val="22"/>
          <w:szCs w:val="22"/>
        </w:rPr>
        <w:t xml:space="preserve">Section 125 plan document providers (Core Documents, etc.): </w:t>
      </w:r>
      <w:r>
        <w:rPr>
          <w:sz w:val="22"/>
          <w:szCs w:val="22"/>
        </w:rPr>
        <w:t xml:space="preserve">Sell the legal paperwork for opt-out programs. Commodity product at ~$99. We should resell or refer, not compete.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sz w:val="22"/>
          <w:szCs w:val="22"/>
        </w:rPr>
        <w:t xml:space="preserve">Decision-support tools (Alex, Navia, Benefitfocus): </w:t>
      </w:r>
      <w:r>
        <w:rPr>
          <w:sz w:val="22"/>
          <w:szCs w:val="22"/>
        </w:rPr>
        <w:t xml:space="preserve">Help individual employees choose the best plan. Don't coordinate across two employers. Adjacent, not competitive.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Our moat: </w:t>
      </w:r>
      <w:r>
        <w:rPr>
          <w:sz w:val="22"/>
          <w:szCs w:val="22"/>
        </w:rPr>
        <w:t xml:space="preserve">Network density. The more employers on the platform in a given metro area, the higher the match rate, the more valuable the platform becomes for every employer. A competitor would need to rebuild the local employer network from scratch.</w:t>
      </w:r>
    </w:p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Key Risks and Mitigations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Open enrollment is once a year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Miss the window and wait 12 months. Revenue is lumpy and seasonal.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Build pipeline 6+ months ahead. "Everything live by September 1" is a hard internal deadline. PEPM provides recurring baseline revenue between enrollment cycles.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Low match rates early 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With 3-5 employers, odds of spousal overlap are 2-5%. Most couples won't find a match.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Focus on employer pairs with known high overlap (M&amp;T + Kaleida, UB + ECMC). Quality of matches matters more than quantity in Year 1-2.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Regulatory complexity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ERISA, Section 125, ACA affordability, MEWA risk. One misstep could freeze sales.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Compliance map already drafted. Retain benefits counsel before first live employer. Position as "we've mapped the regulatory landscape" not "we've solved it."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Broker resistance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Brokers control employer relationships and may see us as a threat.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Position as a tool that makes their client's benefits more competitive. Offer referral fees (15-30%). Never go around a broker.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Cold start / two-sided market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Need both spouses' employers on platform for a match. Classic chicken-and-egg.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flywheel: every couple names two employers. Unmatched couples become warm sales leads for the second employer. Employee demand pulls employers onto the platform.</w:t>
            </w:r>
          </w:p>
        </w:tc>
      </w:tr>
    </w:tbl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Metrics That Matter</w:t>
      </w:r>
    </w:p>
    <w:p>
      <w:pPr>
        <w:spacing w:after="120" w:line="276"/>
      </w:pPr>
      <w:r>
        <w:rPr>
          <w:sz w:val="22"/>
          <w:szCs w:val="22"/>
        </w:rPr>
        <w:t xml:space="preserve">In priority order, these are the numbers we track and the numbers we put in front of investors: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b/>
          <w:bCs/>
          <w:sz w:val="22"/>
          <w:szCs w:val="22"/>
        </w:rPr>
        <w:t xml:space="preserve">Executed matches. </w:t>
      </w:r>
      <w:r>
        <w:rPr>
          <w:sz w:val="22"/>
          <w:szCs w:val="22"/>
        </w:rPr>
        <w:t xml:space="preserve">Each one is a documented case study with real dollars. This is the proof the mechanism works.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b/>
          <w:bCs/>
          <w:sz w:val="22"/>
          <w:szCs w:val="22"/>
        </w:rPr>
        <w:t xml:space="preserve">Household savings captured (cumulative). </w:t>
      </w:r>
      <w:r>
        <w:rPr>
          <w:sz w:val="22"/>
          <w:szCs w:val="22"/>
        </w:rPr>
        <w:t xml:space="preserve">The total dollars redirected to families. This is the impact story.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b/>
          <w:bCs/>
          <w:sz w:val="22"/>
          <w:szCs w:val="22"/>
        </w:rPr>
        <w:t xml:space="preserve">Employer coverage density (metro-level). </w:t>
      </w:r>
      <w:r>
        <w:rPr>
          <w:sz w:val="22"/>
          <w:szCs w:val="22"/>
        </w:rPr>
        <w:t xml:space="preserve">What percentage of large employers in a metro are on platform? This predicts future match rates.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b/>
          <w:bCs/>
          <w:sz w:val="22"/>
          <w:szCs w:val="22"/>
        </w:rPr>
        <w:t xml:space="preserve">Employee-led employer leads. </w:t>
      </w:r>
      <w:r>
        <w:rPr>
          <w:sz w:val="22"/>
          <w:szCs w:val="22"/>
        </w:rPr>
        <w:t xml:space="preserve">How many employers are being pulled onto the platform by their own employees' spouses? This measures flywheel velocity.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b/>
          <w:bCs/>
          <w:sz w:val="22"/>
          <w:szCs w:val="22"/>
        </w:rPr>
        <w:t xml:space="preserve">ARR. </w:t>
      </w:r>
      <w:r>
        <w:rPr>
          <w:sz w:val="22"/>
          <w:szCs w:val="22"/>
        </w:rPr>
        <w:t xml:space="preserve">Important but lagging. ARR follows the other four metrics.</w:t>
      </w:r>
    </w:p>
    <w:p>
      <w:pPr>
        <w:pStyle w:val="Heading1"/>
        <w:spacing w:after="160" w:before="300"/>
      </w:pPr>
      <w:r>
        <w:rPr>
          <w:b/>
          <w:bCs/>
          <w:sz w:val="32"/>
          <w:szCs w:val="32"/>
        </w:rPr>
        <w:t xml:space="preserve">First 90 Days: Post-Weekend Action Plan</w:t>
      </w:r>
    </w:p>
    <w:p>
      <w:pPr>
        <w:spacing w:after="120" w:line="276"/>
      </w:pPr>
      <w:r>
        <w:rPr>
          <w:sz w:val="22"/>
          <w:szCs w:val="22"/>
        </w:rPr>
        <w:t xml:space="preserve">What happens Monday morning after WNY48 ends: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5760"/>
        <w:gridCol w:w="18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Week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1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Follow up with every WNY48 judge, mentor, and audience member. Identify warm employer introductions. Set up LLC.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Founder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2-3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Schedule meetings with 5 target employers (start with the named pairs). Bring the demo. Ask for design-partner LOI.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Founder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4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Retain benefits counsel (local, experienced with Section 125 and ACA). Validate compliance map. Identify show-stoppers early.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Founder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5-8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Build MVP against first design partner's real plan documents. Employer rule config + couple intake + match engine.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Dev team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9-10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Present at WNY SHRM chapter meeting. Pipeline development. Second round of employer meetings with working product.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Founder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 11-12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2-3 signed LOIs in hand. Begin integration planning with design partners' payroll systems. Pre-seed fundraising conversations.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</w:t>
            </w:r>
          </w:p>
        </w:tc>
      </w:tr>
    </w:tbl>
    <w:p>
      <w:pPr>
        <w:spacing w:after="120" w:line="276"/>
      </w:pPr>
      <w:r>
        <w:rPr>
          <w:sz w:val="22"/>
          <w:szCs w:val="22"/>
        </w:rPr>
        <w:t xml:space="preserve"/>
      </w:r>
    </w:p>
    <w:p>
      <w:pPr>
        <w:spacing w:after="120" w:line="276"/>
      </w:pPr>
      <w:r>
        <w:rPr>
          <w:sz w:val="22"/>
          <w:szCs w:val="22"/>
        </w:rPr>
        <w:t xml:space="preserve"/>
      </w:r>
    </w:p>
    <w:p>
      <w:pPr>
        <w:pBdr>
          <w:top w:val="single" w:color="1B4F72" w:sz="4" w:space="1"/>
        </w:pBdr>
        <w:spacing w:after="0"/>
      </w:pPr>
    </w:p>
    <w:p>
      <w:pPr>
        <w:spacing w:after="120" w:line="276"/>
      </w:pPr>
      <w:r>
        <w:rPr>
          <w:i/>
          <w:iCs/>
          <w:color w:val="555555"/>
          <w:sz w:val="22"/>
          <w:szCs w:val="22"/>
        </w:rPr>
        <w:t xml:space="preserve">CouplesBenefits  |  Go-to-Market Plan  |  April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Arial" w:cs="Arial" w:eastAsia="Arial" w:hAnsi="Arial"/>
      <w:b/>
      <w:bCs/>
      <w:color w:val="1B4F7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2E86C1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2026-04-18T22:23:38.300Z</dcterms:created>
  <dcterms:modified xsi:type="dcterms:W3CDTF">2026-04-18T22:23:38.301Z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